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DF" w:rsidRPr="002338DF" w:rsidRDefault="002338DF" w:rsidP="002338DF">
      <w:pPr>
        <w:shd w:val="clear" w:color="auto" w:fill="FFFFFF"/>
        <w:spacing w:after="100" w:afterAutospacing="1" w:line="288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val="ru-RU" w:eastAsia="ru-RU"/>
        </w:rPr>
      </w:pPr>
      <w:r w:rsidRPr="002338DF">
        <w:rPr>
          <w:rFonts w:ascii="Arial" w:eastAsia="Times New Roman" w:hAnsi="Arial" w:cs="Arial"/>
          <w:b/>
          <w:bCs/>
          <w:sz w:val="36"/>
          <w:szCs w:val="36"/>
          <w:lang w:val="ru-RU" w:eastAsia="ru-RU"/>
        </w:rPr>
        <w:t>Размещен проект отчета об итогах ГКО объектов капитального строительства на территории Ивановской области</w:t>
      </w:r>
    </w:p>
    <w:p w:rsidR="002338DF" w:rsidRPr="0087134D" w:rsidRDefault="00A6576D" w:rsidP="0023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212529" stroked="f"/>
        </w:pict>
      </w:r>
    </w:p>
    <w:p w:rsidR="002338DF" w:rsidRPr="002338DF" w:rsidRDefault="002338DF" w:rsidP="002338DF">
      <w:pPr>
        <w:shd w:val="clear" w:color="auto" w:fill="FFFFFF"/>
        <w:spacing w:after="195" w:line="288" w:lineRule="atLeast"/>
        <w:jc w:val="both"/>
        <w:outlineLvl w:val="3"/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</w:pP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 xml:space="preserve">С 19 сентября в Ивановской области стартовал этап приема замечаний к проекту отчета об итогах государственной кадастровой оценки </w:t>
      </w:r>
      <w:r w:rsidRPr="002338DF">
        <w:rPr>
          <w:rFonts w:ascii="Times New Roman" w:hAnsi="Times New Roman"/>
          <w:sz w:val="24"/>
          <w:szCs w:val="24"/>
          <w:lang w:val="ru-RU"/>
        </w:rPr>
        <w:t>зданий, помещений, сооружений, объектов незавершенного строительства, машино</w:t>
      </w:r>
      <w:r w:rsidR="00FC1B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8DF">
        <w:rPr>
          <w:rFonts w:ascii="Times New Roman" w:hAnsi="Times New Roman"/>
          <w:sz w:val="24"/>
          <w:szCs w:val="24"/>
          <w:lang w:val="ru-RU"/>
        </w:rPr>
        <w:t>-</w:t>
      </w:r>
      <w:r w:rsidR="00FC1B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8DF">
        <w:rPr>
          <w:rFonts w:ascii="Times New Roman" w:hAnsi="Times New Roman"/>
          <w:sz w:val="24"/>
          <w:szCs w:val="24"/>
          <w:lang w:val="ru-RU"/>
        </w:rPr>
        <w:t xml:space="preserve">мест </w:t>
      </w: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>на территории Ивановской области.</w:t>
      </w:r>
    </w:p>
    <w:p w:rsidR="002338DF" w:rsidRPr="002338DF" w:rsidRDefault="002338DF" w:rsidP="002338DF">
      <w:pPr>
        <w:shd w:val="clear" w:color="auto" w:fill="FFFFFF"/>
        <w:spacing w:after="100" w:afterAutospacing="1" w:line="288" w:lineRule="atLeast"/>
        <w:jc w:val="both"/>
        <w:outlineLvl w:val="3"/>
        <w:rPr>
          <w:rFonts w:ascii="RobotoCondensed-Regular" w:eastAsia="Times New Roman" w:hAnsi="RobotoCondensed-Regular" w:cs="Times New Roman"/>
          <w:sz w:val="30"/>
          <w:szCs w:val="30"/>
          <w:lang w:val="ru-RU" w:eastAsia="ru-RU"/>
        </w:rPr>
      </w:pPr>
      <w:r w:rsidRPr="002338DF">
        <w:rPr>
          <w:rFonts w:ascii="RobotoCondensed-Regular" w:eastAsia="Times New Roman" w:hAnsi="RobotoCondensed-Regular" w:cs="Times New Roman"/>
          <w:b/>
          <w:bCs/>
          <w:sz w:val="30"/>
          <w:szCs w:val="30"/>
          <w:lang w:val="ru-RU" w:eastAsia="ru-RU"/>
        </w:rPr>
        <w:t>Прием замечаний продлится</w:t>
      </w:r>
      <w:r>
        <w:rPr>
          <w:rFonts w:ascii="RobotoCondensed-Regular" w:eastAsia="Times New Roman" w:hAnsi="RobotoCondensed-Regular" w:cs="Times New Roman"/>
          <w:b/>
          <w:bCs/>
          <w:sz w:val="30"/>
          <w:szCs w:val="30"/>
          <w:lang w:eastAsia="ru-RU"/>
        </w:rPr>
        <w:t> </w:t>
      </w:r>
      <w:r w:rsidRPr="002338DF">
        <w:rPr>
          <w:rFonts w:ascii="RobotoCondensed-Regular" w:eastAsia="Times New Roman" w:hAnsi="RobotoCondensed-Regular" w:cs="Times New Roman"/>
          <w:b/>
          <w:bCs/>
          <w:sz w:val="30"/>
          <w:szCs w:val="30"/>
          <w:lang w:val="ru-RU" w:eastAsia="ru-RU"/>
        </w:rPr>
        <w:t>до 18 октября 2023 года.</w:t>
      </w:r>
    </w:p>
    <w:p w:rsidR="002338DF" w:rsidRPr="002338DF" w:rsidRDefault="002338DF" w:rsidP="002338DF">
      <w:pPr>
        <w:shd w:val="clear" w:color="auto" w:fill="FFFFFF"/>
        <w:spacing w:after="195" w:line="288" w:lineRule="atLeast"/>
        <w:jc w:val="both"/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</w:pP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>Обратиться за услугой вправе любые лица, в случае если:</w:t>
      </w: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br/>
      </w:r>
      <w:r w:rsidRPr="0087134D">
        <w:rPr>
          <w:rFonts w:ascii="RobotoCondensed-Regular" w:eastAsia="Times New Roman" w:hAnsi="RobotoCondensed-Regular" w:cs="Times New Roman"/>
          <w:sz w:val="24"/>
          <w:szCs w:val="24"/>
          <w:lang w:eastAsia="ru-RU"/>
        </w:rPr>
        <w:t>      </w:t>
      </w: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 xml:space="preserve"> - указанное в проекте отчета назначение объекта недвижимости не соответствует сведениям, указанным в правоустанавливающих документах или сведениям Единого государственного реестра недвижимости, в связи с чем объект некорректно отнесен к иной функциональной группе;</w:t>
      </w:r>
    </w:p>
    <w:p w:rsidR="002338DF" w:rsidRPr="002338DF" w:rsidRDefault="002338DF" w:rsidP="002338DF">
      <w:pPr>
        <w:shd w:val="clear" w:color="auto" w:fill="FFFFFF"/>
        <w:spacing w:after="195" w:line="288" w:lineRule="atLeast"/>
        <w:jc w:val="both"/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</w:pPr>
      <w:r w:rsidRPr="0087134D">
        <w:rPr>
          <w:rFonts w:ascii="RobotoCondensed-Regular" w:eastAsia="Times New Roman" w:hAnsi="RobotoCondensed-Regular" w:cs="Times New Roman"/>
          <w:sz w:val="24"/>
          <w:szCs w:val="24"/>
          <w:lang w:eastAsia="ru-RU"/>
        </w:rPr>
        <w:t>     </w:t>
      </w: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 xml:space="preserve"> - сведения о характеристиках объекта недвижимости, использованные при определении кадастровой стоимости, недостоверны и не содержатся в Перечне объектов недвижимости, подлежащих государственной кадастровой оценке в Ивановской области в 2023 году.</w:t>
      </w:r>
    </w:p>
    <w:p w:rsidR="00E1263E" w:rsidRDefault="002338DF" w:rsidP="00E1263E">
      <w:pPr>
        <w:shd w:val="clear" w:color="auto" w:fill="FFFFFF"/>
        <w:spacing w:after="195" w:line="288" w:lineRule="atLeast"/>
        <w:jc w:val="both"/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</w:pP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>Проект отчета размещен на официальном сайте ГБУ ИО «Центр кадастровой оценки» в разделе</w:t>
      </w:r>
      <w:r>
        <w:rPr>
          <w:rFonts w:ascii="RobotoCondensed-Regular" w:eastAsia="Times New Roman" w:hAnsi="RobotoCondensed-Regular" w:cs="Times New Roman"/>
          <w:sz w:val="24"/>
          <w:szCs w:val="24"/>
          <w:lang w:eastAsia="ru-RU"/>
        </w:rPr>
        <w:t> </w:t>
      </w: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>«Кадастровая оценка». Также с предварительными итогами можно ознакомиться</w:t>
      </w:r>
      <w:r w:rsidRPr="0087134D">
        <w:rPr>
          <w:rFonts w:ascii="RobotoCondensed-Regular" w:eastAsia="Times New Roman" w:hAnsi="RobotoCondensed-Regular" w:cs="Times New Roman"/>
          <w:sz w:val="24"/>
          <w:szCs w:val="24"/>
          <w:lang w:eastAsia="ru-RU"/>
        </w:rPr>
        <w:t> </w:t>
      </w:r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 xml:space="preserve">в Фонде данных государственной кадастровой оценки на сайте </w:t>
      </w:r>
      <w:proofErr w:type="spellStart"/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>Росреестра</w:t>
      </w:r>
      <w:proofErr w:type="spellEnd"/>
      <w:r w:rsidRPr="002338DF"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t>.</w:t>
      </w:r>
    </w:p>
    <w:p w:rsidR="002338DF" w:rsidRPr="00E1263E" w:rsidRDefault="002338DF" w:rsidP="00E1263E">
      <w:pPr>
        <w:shd w:val="clear" w:color="auto" w:fill="FFFFFF"/>
        <w:spacing w:after="195" w:line="288" w:lineRule="atLeast"/>
        <w:jc w:val="both"/>
        <w:rPr>
          <w:rFonts w:ascii="RobotoCondensed-Regular" w:eastAsia="Times New Roman" w:hAnsi="RobotoCondensed-Regular" w:cs="Times New Roman"/>
          <w:sz w:val="24"/>
          <w:szCs w:val="24"/>
          <w:lang w:val="ru-RU" w:eastAsia="ru-RU"/>
        </w:rPr>
        <w:sectPr w:rsidR="002338DF" w:rsidRPr="00E1263E">
          <w:pgSz w:w="11907" w:h="16840"/>
          <w:pgMar w:top="426" w:right="851" w:bottom="851" w:left="1418" w:header="0" w:footer="567" w:gutter="0"/>
          <w:cols w:space="720"/>
        </w:sectPr>
      </w:pPr>
      <w:bookmarkStart w:id="0" w:name="_GoBack"/>
      <w:bookmarkEnd w:id="0"/>
      <w:r w:rsidRPr="0087134D">
        <w:rPr>
          <w:rFonts w:ascii="RobotoCondensed-Regular" w:eastAsia="Times New Roman" w:hAnsi="RobotoCondensed-Regular" w:cs="Times New Roman"/>
          <w:sz w:val="30"/>
          <w:szCs w:val="30"/>
          <w:lang w:eastAsia="ru-RU"/>
        </w:rPr>
        <w:t> </w:t>
      </w:r>
      <w:r w:rsidRPr="002338DF">
        <w:rPr>
          <w:rFonts w:ascii="RobotoCondensed-Regular" w:eastAsia="Times New Roman" w:hAnsi="RobotoCondensed-Regular" w:cs="Times New Roman"/>
          <w:sz w:val="30"/>
          <w:szCs w:val="30"/>
          <w:lang w:val="ru-RU" w:eastAsia="ru-RU"/>
        </w:rPr>
        <w:br/>
      </w:r>
      <w:r w:rsidRPr="002338DF">
        <w:rPr>
          <w:rFonts w:ascii="RobotoCondensed-Regular" w:eastAsia="Times New Roman" w:hAnsi="RobotoCondensed-Regular" w:cs="Times New Roman"/>
          <w:b/>
          <w:bCs/>
          <w:sz w:val="30"/>
          <w:szCs w:val="30"/>
          <w:lang w:val="ru-RU" w:eastAsia="ru-RU"/>
        </w:rPr>
        <w:t>Больше</w:t>
      </w:r>
      <w:r w:rsidR="00FC1B36">
        <w:rPr>
          <w:rFonts w:ascii="RobotoCondensed-Regular" w:eastAsia="Times New Roman" w:hAnsi="RobotoCondensed-Regular" w:cs="Times New Roman" w:hint="eastAsia"/>
          <w:b/>
          <w:bCs/>
          <w:sz w:val="30"/>
          <w:szCs w:val="30"/>
          <w:lang w:val="ru-RU" w:eastAsia="ru-RU"/>
        </w:rPr>
        <w:t> </w:t>
      </w:r>
      <w:r w:rsidR="00FC1B36">
        <w:rPr>
          <w:rFonts w:ascii="RobotoCondensed-Regular" w:eastAsia="Times New Roman" w:hAnsi="RobotoCondensed-Regular" w:cs="Times New Roman"/>
          <w:b/>
          <w:bCs/>
          <w:sz w:val="30"/>
          <w:szCs w:val="30"/>
          <w:lang w:val="ru-RU" w:eastAsia="ru-RU"/>
        </w:rPr>
        <w:t>и</w:t>
      </w:r>
      <w:r w:rsidRPr="002338DF">
        <w:rPr>
          <w:rFonts w:ascii="RobotoCondensed-Regular" w:eastAsia="Times New Roman" w:hAnsi="RobotoCondensed-Regular" w:cs="Times New Roman"/>
          <w:b/>
          <w:bCs/>
          <w:sz w:val="30"/>
          <w:szCs w:val="30"/>
          <w:lang w:val="ru-RU" w:eastAsia="ru-RU"/>
        </w:rPr>
        <w:t>нформации</w:t>
      </w:r>
      <w:r w:rsidR="00FC1B36">
        <w:rPr>
          <w:rFonts w:ascii="RobotoCondensed-Regular" w:eastAsia="Times New Roman" w:hAnsi="RobotoCondensed-Regular" w:cs="Times New Roman" w:hint="eastAsia"/>
          <w:b/>
          <w:bCs/>
          <w:sz w:val="30"/>
          <w:szCs w:val="30"/>
          <w:lang w:val="ru-RU" w:eastAsia="ru-RU"/>
        </w:rPr>
        <w:t> </w:t>
      </w:r>
      <w:r w:rsidRPr="002338DF">
        <w:rPr>
          <w:rFonts w:ascii="RobotoCondensed-Regular" w:eastAsia="Times New Roman" w:hAnsi="RobotoCondensed-Regular" w:cs="Times New Roman"/>
          <w:b/>
          <w:bCs/>
          <w:sz w:val="30"/>
          <w:szCs w:val="30"/>
          <w:lang w:val="ru-RU" w:eastAsia="ru-RU"/>
        </w:rPr>
        <w:t>об</w:t>
      </w:r>
      <w:r w:rsidR="00FC1B36">
        <w:rPr>
          <w:rFonts w:ascii="RobotoCondensed-Regular" w:eastAsia="Times New Roman" w:hAnsi="RobotoCondensed-Regular" w:cs="Times New Roman" w:hint="eastAsia"/>
          <w:b/>
          <w:bCs/>
          <w:sz w:val="30"/>
          <w:szCs w:val="30"/>
          <w:lang w:val="ru-RU" w:eastAsia="ru-RU"/>
        </w:rPr>
        <w:t> </w:t>
      </w:r>
      <w:r w:rsidRPr="002338DF">
        <w:rPr>
          <w:rFonts w:ascii="RobotoCondensed-Regular" w:eastAsia="Times New Roman" w:hAnsi="RobotoCondensed-Regular" w:cs="Times New Roman"/>
          <w:b/>
          <w:bCs/>
          <w:sz w:val="30"/>
          <w:szCs w:val="30"/>
          <w:lang w:val="ru-RU" w:eastAsia="ru-RU"/>
        </w:rPr>
        <w:t>услуге</w:t>
      </w:r>
      <w:r w:rsidRPr="0087134D">
        <w:rPr>
          <w:rFonts w:ascii="RobotoCondensed-Regular" w:eastAsia="Times New Roman" w:hAnsi="RobotoCondensed-Regular" w:cs="Times New Roman"/>
          <w:b/>
          <w:bCs/>
          <w:sz w:val="30"/>
          <w:szCs w:val="30"/>
          <w:lang w:eastAsia="ru-RU"/>
        </w:rPr>
        <w:t> </w:t>
      </w:r>
      <w:hyperlink r:id="rId5" w:tgtFrame="_blank" w:history="1">
        <w:r w:rsidRPr="002338DF">
          <w:rPr>
            <w:rFonts w:ascii="RobotoCondensed-Regular" w:eastAsia="Times New Roman" w:hAnsi="RobotoCondensed-Regular" w:cs="Times New Roman"/>
            <w:b/>
            <w:bCs/>
            <w:sz w:val="30"/>
            <w:szCs w:val="30"/>
            <w:u w:val="single"/>
            <w:lang w:val="ru-RU" w:eastAsia="ru-RU"/>
          </w:rPr>
          <w:t>здесь</w:t>
        </w:r>
      </w:hyperlink>
      <w:r>
        <w:rPr>
          <w:rFonts w:ascii="RobotoCondensed-Regular" w:eastAsia="Times New Roman" w:hAnsi="RobotoCondensed-Regular" w:cs="Times New Roman"/>
          <w:b/>
          <w:bCs/>
          <w:sz w:val="30"/>
          <w:szCs w:val="30"/>
          <w:lang w:val="ru-RU" w:eastAsia="ru-RU"/>
        </w:rPr>
        <w:t>.</w:t>
      </w:r>
    </w:p>
    <w:p w:rsidR="00A42C5B" w:rsidRPr="002338DF" w:rsidRDefault="00A42C5B">
      <w:pPr>
        <w:rPr>
          <w:lang w:val="ru-RU"/>
        </w:rPr>
      </w:pPr>
    </w:p>
    <w:sectPr w:rsidR="00A42C5B" w:rsidRPr="002338DF" w:rsidSect="001A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Condense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1C8"/>
    <w:multiLevelType w:val="multilevel"/>
    <w:tmpl w:val="B83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38DF"/>
    <w:rsid w:val="001A14ED"/>
    <w:rsid w:val="002338DF"/>
    <w:rsid w:val="00A42C5B"/>
    <w:rsid w:val="00A6576D"/>
    <w:rsid w:val="00E1263E"/>
    <w:rsid w:val="00F93873"/>
    <w:rsid w:val="00FC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D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338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38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38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2338DF"/>
    <w:pPr>
      <w:spacing w:after="0" w:line="240" w:lineRule="auto"/>
    </w:pPr>
    <w:rPr>
      <w:lang w:val="en-US"/>
    </w:rPr>
  </w:style>
  <w:style w:type="paragraph" w:customStyle="1" w:styleId="s1">
    <w:name w:val="s_1"/>
    <w:basedOn w:val="a"/>
    <w:uiPriority w:val="99"/>
    <w:semiHidden/>
    <w:rsid w:val="0023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2338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ko37.site/a/gosudarstvennaja-usluga-rassmotrenie-zamechanij-k-proektu-otcheta-gosudarstvennoj-kadastrovoj-otse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Неборак</dc:creator>
  <cp:lastModifiedBy>Old1</cp:lastModifiedBy>
  <cp:revision>3</cp:revision>
  <dcterms:created xsi:type="dcterms:W3CDTF">2023-09-22T07:26:00Z</dcterms:created>
  <dcterms:modified xsi:type="dcterms:W3CDTF">2023-09-22T11:31:00Z</dcterms:modified>
</cp:coreProperties>
</file>