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Проект доклада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istParagraph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nos" w:hAnsi="Tinos"/>
          <w:sz w:val="28"/>
          <w:szCs w:val="28"/>
        </w:rPr>
        <w:t>обрый день, уважаемые гости, уважаемые коллеги!</w:t>
      </w:r>
    </w:p>
    <w:p>
      <w:pPr>
        <w:pStyle w:val="ListParagraph"/>
        <w:ind w:left="0" w:firstLine="709"/>
        <w:jc w:val="both"/>
        <w:rPr>
          <w:rFonts w:ascii="Tinos" w:hAnsi="Tinos"/>
          <w:b/>
          <w:bCs/>
          <w:sz w:val="28"/>
          <w:szCs w:val="28"/>
        </w:rPr>
      </w:pPr>
      <w:r>
        <w:rPr>
          <w:rFonts w:ascii="Tinos" w:hAnsi="Tinos"/>
          <w:b/>
          <w:bCs/>
          <w:sz w:val="28"/>
          <w:szCs w:val="28"/>
        </w:rPr>
        <w:t>Тема доклада надзорная деятельность в рамках земельного надзора</w:t>
      </w:r>
    </w:p>
    <w:p>
      <w:pPr>
        <w:pStyle w:val="ListParagraph"/>
        <w:ind w:left="0" w:firstLine="709"/>
        <w:jc w:val="both"/>
        <w:rPr>
          <w:b/>
          <w:bCs/>
        </w:rPr>
      </w:pPr>
      <w:r>
        <w:rPr>
          <w:rFonts w:ascii="Tinos" w:hAnsi="Tinos"/>
          <w:b/>
          <w:bCs/>
          <w:sz w:val="28"/>
          <w:szCs w:val="28"/>
        </w:rPr>
        <w:t>Слайд № 1.</w:t>
      </w:r>
    </w:p>
    <w:p>
      <w:pPr>
        <w:pStyle w:val="ListParagraph"/>
        <w:ind w:left="0" w:firstLine="709"/>
        <w:jc w:val="both"/>
        <w:rPr>
          <w:rFonts w:ascii="Tinos" w:hAnsi="Tinos"/>
        </w:rPr>
      </w:pPr>
      <w:r>
        <w:rPr>
          <w:rFonts w:ascii="Tinos" w:hAnsi="Tinos"/>
          <w:b/>
          <w:bCs/>
          <w:sz w:val="28"/>
          <w:szCs w:val="28"/>
        </w:rPr>
        <w:t xml:space="preserve">Все плановые показатели государственного земельного надзора                           на 2024 год достигнуты Управлением в полном объеме. </w:t>
      </w:r>
    </w:p>
    <w:p>
      <w:pPr>
        <w:pStyle w:val="ListParagraph"/>
        <w:ind w:left="0" w:firstLine="709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 xml:space="preserve">Мы </w:t>
      </w:r>
      <w:r>
        <w:rPr>
          <w:rFonts w:ascii="Tinos" w:hAnsi="Tinos"/>
          <w:b/>
          <w:bCs/>
          <w:sz w:val="28"/>
          <w:szCs w:val="28"/>
        </w:rPr>
        <w:t>проверили</w:t>
      </w:r>
      <w:r>
        <w:rPr>
          <w:rFonts w:ascii="Tinos" w:hAnsi="Tinos"/>
          <w:sz w:val="28"/>
          <w:szCs w:val="28"/>
        </w:rPr>
        <w:t xml:space="preserve"> более 39 тыс. га, что превышает показатели 2023 года         почти на </w:t>
      </w:r>
      <w:r>
        <w:rPr>
          <w:rFonts w:cs="Arial" w:ascii="Tinos" w:hAnsi="Tinos" w:cstheme="minorBidi"/>
          <w:sz w:val="28"/>
          <w:szCs w:val="28"/>
          <w:shd w:fill="auto" w:val="clear"/>
        </w:rPr>
        <w:t>80 %</w:t>
      </w:r>
    </w:p>
    <w:p>
      <w:pPr>
        <w:pStyle w:val="ListParagraph"/>
        <w:ind w:left="0" w:firstLine="709"/>
        <w:jc w:val="both"/>
        <w:rPr>
          <w:rFonts w:ascii="Tinos" w:hAnsi="Tinos"/>
        </w:rPr>
      </w:pPr>
      <w:r>
        <w:rPr>
          <w:rFonts w:eastAsia="Calibri" w:cs="Arial" w:ascii="Tinos" w:hAnsi="Tinos" w:cstheme="minorBidi" w:eastAsiaTheme="minorHAnsi"/>
          <w:sz w:val="28"/>
          <w:szCs w:val="28"/>
          <w:shd w:fill="auto" w:val="clear"/>
        </w:rPr>
        <w:t xml:space="preserve">Площадь </w:t>
      </w:r>
      <w:r>
        <w:rPr>
          <w:rFonts w:eastAsia="Calibri" w:cs="Arial" w:ascii="Tinos" w:hAnsi="Tinos" w:cstheme="minorBidi" w:eastAsiaTheme="minorHAnsi"/>
          <w:b/>
          <w:bCs/>
          <w:sz w:val="28"/>
          <w:szCs w:val="28"/>
          <w:shd w:fill="auto" w:val="clear"/>
        </w:rPr>
        <w:t>выявленных нарушений</w:t>
      </w:r>
      <w:r>
        <w:rPr>
          <w:rFonts w:eastAsia="Calibri" w:cs="Arial" w:ascii="Tinos" w:hAnsi="Tinos" w:cstheme="minorBidi" w:eastAsiaTheme="minorHAnsi"/>
          <w:sz w:val="28"/>
          <w:szCs w:val="28"/>
          <w:shd w:fill="auto" w:val="clear"/>
        </w:rPr>
        <w:t xml:space="preserve"> составила 15 тыс. га, данный показатель так же выше показателей 2023 года более чем </w:t>
      </w:r>
      <w:r>
        <w:rPr>
          <w:rFonts w:eastAsia="Calibri" w:cs="Arial" w:ascii="Tinos" w:hAnsi="Tinos" w:cstheme="minorBidi" w:eastAsiaTheme="minorHAnsi"/>
          <w:sz w:val="28"/>
          <w:szCs w:val="28"/>
          <w:shd w:fill="auto" w:val="clear"/>
        </w:rPr>
        <w:t xml:space="preserve">на </w:t>
      </w:r>
      <w:r>
        <w:rPr>
          <w:rFonts w:eastAsia="Calibri" w:cs="Arial" w:ascii="Tinos" w:hAnsi="Tinos" w:cstheme="minorBidi" w:eastAsiaTheme="minorHAnsi"/>
          <w:sz w:val="28"/>
          <w:szCs w:val="28"/>
          <w:shd w:fill="auto" w:val="clear"/>
        </w:rPr>
        <w:t xml:space="preserve">1100% </w:t>
      </w:r>
    </w:p>
    <w:p>
      <w:pPr>
        <w:pStyle w:val="ListParagraph"/>
        <w:shd w:val="clear" w:color="FFFFFF" w:themeColor="background1" w:fill="FFFFFF" w:themeFill="background1"/>
        <w:ind w:left="0" w:firstLine="709"/>
        <w:jc w:val="both"/>
        <w:rPr>
          <w:i w:val="false"/>
          <w:i w:val="false"/>
          <w:color w:val="000000"/>
        </w:rPr>
      </w:pPr>
      <w:r>
        <w:rPr>
          <w:rFonts w:eastAsia="Tinos" w:cs="Tinos" w:ascii="Tinos" w:hAnsi="Tinos"/>
          <w:i w:val="false"/>
          <w:iCs w:val="false"/>
          <w:color w:val="000000"/>
          <w:sz w:val="28"/>
          <w:szCs w:val="28"/>
        </w:rPr>
        <w:t xml:space="preserve">Сегодня </w:t>
      </w:r>
      <w:r>
        <w:rPr>
          <w:rFonts w:eastAsia="Tinos" w:cs="Tinos" w:ascii="Tinos" w:hAnsi="Tinos"/>
          <w:b/>
          <w:bCs/>
          <w:i w:val="false"/>
          <w:iCs w:val="false"/>
          <w:color w:val="000000"/>
          <w:sz w:val="28"/>
          <w:szCs w:val="28"/>
          <w:u w:val="none"/>
        </w:rPr>
        <w:t>политика</w:t>
      </w:r>
      <w:r>
        <w:rPr>
          <w:rFonts w:eastAsia="Tinos" w:cs="Tinos" w:ascii="Tinos" w:hAnsi="Tinos"/>
          <w:i w:val="false"/>
          <w:iCs w:val="false"/>
          <w:color w:val="000000"/>
          <w:sz w:val="28"/>
          <w:szCs w:val="28"/>
        </w:rPr>
        <w:t xml:space="preserve"> государства направлена на то, чтобы в ходе надзора </w:t>
      </w:r>
      <w:r>
        <w:rPr>
          <w:rFonts w:eastAsia="Tinos" w:cs="Tinos" w:ascii="Tinos" w:hAnsi="Tinos"/>
          <w:b/>
          <w:bCs/>
          <w:i w:val="false"/>
          <w:iCs w:val="false"/>
          <w:color w:val="000000"/>
          <w:sz w:val="28"/>
          <w:szCs w:val="28"/>
        </w:rPr>
        <w:t>не обязывать и наказывать</w:t>
      </w:r>
      <w:r>
        <w:rPr>
          <w:rFonts w:eastAsia="Tinos" w:cs="Tinos" w:ascii="Tinos" w:hAnsi="Tinos"/>
          <w:i w:val="false"/>
          <w:iCs w:val="false"/>
          <w:color w:val="000000"/>
          <w:sz w:val="28"/>
          <w:szCs w:val="28"/>
        </w:rPr>
        <w:t xml:space="preserve">, а объяснять и давать возможность исправить нарушения </w:t>
      </w:r>
      <w:r>
        <w:rPr>
          <w:rFonts w:eastAsia="Tinos" w:cs="Tinos" w:ascii="Tinos" w:hAnsi="Tinos"/>
          <w:b/>
          <w:bCs/>
          <w:i w:val="false"/>
          <w:iCs w:val="false"/>
          <w:color w:val="000000"/>
          <w:sz w:val="28"/>
          <w:szCs w:val="28"/>
        </w:rPr>
        <w:t>добровольно</w:t>
      </w:r>
      <w:r>
        <w:rPr>
          <w:rFonts w:eastAsia="Tinos" w:cs="Tinos" w:ascii="Tinos" w:hAnsi="Tinos"/>
          <w:i w:val="false"/>
          <w:iCs w:val="false"/>
          <w:color w:val="000000"/>
          <w:sz w:val="28"/>
          <w:szCs w:val="28"/>
        </w:rPr>
        <w:t>.</w:t>
      </w:r>
    </w:p>
    <w:p>
      <w:pPr>
        <w:pStyle w:val="ListParagraph"/>
        <w:ind w:left="0" w:firstLine="709"/>
        <w:jc w:val="both"/>
        <w:rPr>
          <w:rFonts w:ascii="Tinos" w:hAnsi="Tinos"/>
        </w:rPr>
      </w:pPr>
      <w:r>
        <w:rPr>
          <w:rFonts w:eastAsia="Calibri" w:cs="Arial" w:ascii="Times New Roman" w:hAnsi="Times New Roman" w:cstheme="minorBidi" w:eastAsiaTheme="minorHAnsi"/>
          <w:sz w:val="28"/>
          <w:szCs w:val="28"/>
          <w:shd w:fill="auto" w:val="clear"/>
        </w:rPr>
        <w:t xml:space="preserve">Так, </w:t>
      </w:r>
      <w:r>
        <w:rPr>
          <w:rFonts w:eastAsia="Calibri" w:cs="Arial" w:ascii="Times New Roman" w:hAnsi="Times New Roman" w:cstheme="minorBidi" w:eastAsiaTheme="minorHAnsi"/>
          <w:sz w:val="28"/>
          <w:szCs w:val="28"/>
          <w:shd w:fill="auto" w:val="clear"/>
        </w:rPr>
        <w:t>в</w:t>
      </w:r>
      <w:r>
        <w:rPr>
          <w:rFonts w:eastAsia="Calibri" w:cs="Arial" w:ascii="Times New Roman" w:hAnsi="Times New Roman" w:cstheme="minorBidi" w:eastAsiaTheme="minorHAnsi"/>
          <w:sz w:val="28"/>
          <w:szCs w:val="28"/>
          <w:shd w:fill="auto" w:val="clear"/>
        </w:rPr>
        <w:t xml:space="preserve"> рамках профилактики было объявлено</w:t>
      </w:r>
      <w:r>
        <w:rPr>
          <w:rFonts w:eastAsia="Calibri" w:cs="Arial" w:ascii="Times New Roman" w:hAnsi="Times New Roman" w:cstheme="minorBidi" w:eastAsiaTheme="minorHAnsi"/>
          <w:b/>
          <w:bCs/>
          <w:sz w:val="28"/>
          <w:szCs w:val="28"/>
          <w:shd w:fill="auto" w:val="clear"/>
        </w:rPr>
        <w:t xml:space="preserve"> 338 предостережений,</w:t>
      </w:r>
      <w:r>
        <w:rPr>
          <w:rFonts w:eastAsia="Calibri" w:cs="Arial" w:ascii="Times New Roman" w:hAnsi="Times New Roman" w:cstheme="minorBidi" w:eastAsiaTheme="minorHAnsi"/>
          <w:sz w:val="28"/>
          <w:szCs w:val="28"/>
          <w:shd w:fill="auto" w:val="clear"/>
        </w:rPr>
        <w:t xml:space="preserve">                  а площадь на которой </w:t>
      </w:r>
      <w:r>
        <w:rPr>
          <w:rFonts w:eastAsia="Calibri" w:cs="Arial" w:ascii="Times New Roman" w:hAnsi="Times New Roman" w:cstheme="minorBidi" w:eastAsiaTheme="minorHAnsi"/>
          <w:b/>
          <w:bCs/>
          <w:sz w:val="28"/>
          <w:szCs w:val="28"/>
          <w:shd w:fill="auto" w:val="clear"/>
        </w:rPr>
        <w:t xml:space="preserve">устранены </w:t>
      </w:r>
      <w:r>
        <w:rPr>
          <w:rFonts w:eastAsia="Calibri" w:cs="Arial" w:ascii="Times New Roman" w:hAnsi="Times New Roman" w:cstheme="minorBidi" w:eastAsiaTheme="minorHAnsi"/>
          <w:sz w:val="28"/>
          <w:szCs w:val="28"/>
          <w:shd w:fill="auto" w:val="clear"/>
        </w:rPr>
        <w:t>нарушения составила более 540 га.</w:t>
      </w:r>
    </w:p>
    <w:p>
      <w:pPr>
        <w:pStyle w:val="ListParagraph"/>
        <w:ind w:left="0" w:firstLine="709"/>
        <w:jc w:val="both"/>
        <w:rPr>
          <w:rFonts w:ascii="Tinos" w:hAnsi="Tinos"/>
        </w:rPr>
      </w:pPr>
      <w:r>
        <w:rPr>
          <w:rFonts w:ascii="Tinos" w:hAnsi="Tinos"/>
          <w:b/>
          <w:bCs/>
          <w:sz w:val="28"/>
          <w:szCs w:val="28"/>
        </w:rPr>
        <w:t>Слайд № 2.</w:t>
      </w:r>
    </w:p>
    <w:p>
      <w:pPr>
        <w:pStyle w:val="ListParagraph"/>
        <w:ind w:left="0" w:firstLine="709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>Э</w:t>
      </w:r>
      <w:r>
        <w:rPr>
          <w:rFonts w:ascii="Tinos" w:hAnsi="Tinos"/>
          <w:b/>
          <w:bCs/>
          <w:sz w:val="28"/>
          <w:szCs w:val="28"/>
        </w:rPr>
        <w:t>то стало возможным благодаря применению в надзорной деятельности новых инструментов и технологий</w:t>
      </w:r>
      <w:r>
        <w:rPr>
          <w:rFonts w:ascii="Tinos" w:hAnsi="Tinos"/>
          <w:sz w:val="28"/>
          <w:szCs w:val="28"/>
        </w:rPr>
        <w:t>.</w:t>
      </w:r>
    </w:p>
    <w:p>
      <w:pPr>
        <w:pStyle w:val="ListParagraph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sz w:val="28"/>
          <w:szCs w:val="28"/>
        </w:rPr>
        <w:t>В 2024 году два сотрудника Управления стали</w:t>
      </w:r>
      <w:r>
        <w:rPr>
          <w:rFonts w:ascii="Times New Roman" w:hAnsi="Times New Roman"/>
          <w:sz w:val="28"/>
          <w:szCs w:val="28"/>
        </w:rPr>
        <w:t xml:space="preserve"> пилотами БВС. </w:t>
      </w:r>
    </w:p>
    <w:p>
      <w:pPr>
        <w:pStyle w:val="ListParagraph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Нами были получены разрешения Штаба Московского военного округа, Управления ФСБ, Администраций, а также каждый вылет согласовывался         </w:t>
      </w:r>
      <w:r>
        <w:rPr>
          <w:rFonts w:ascii="Times New Roman" w:hAnsi="Times New Roman"/>
          <w:b/>
          <w:bCs/>
          <w:sz w:val="28"/>
          <w:szCs w:val="28"/>
        </w:rPr>
        <w:t>Центром полетов</w:t>
      </w:r>
      <w:r>
        <w:rPr>
          <w:rFonts w:ascii="Times New Roman" w:hAnsi="Times New Roman"/>
          <w:sz w:val="28"/>
          <w:szCs w:val="28"/>
        </w:rPr>
        <w:t xml:space="preserve"> с использование платформы «Небосвод». </w:t>
      </w:r>
    </w:p>
    <w:p>
      <w:pPr>
        <w:pStyle w:val="ListParagraph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Преимущества БВС: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</w:t>
      </w:r>
      <w:r>
        <w:rPr>
          <w:rFonts w:ascii="Times New Roman" w:hAnsi="Times New Roman"/>
          <w:b/>
          <w:bCs/>
          <w:sz w:val="28"/>
          <w:szCs w:val="28"/>
        </w:rPr>
        <w:t>кономическая эффективность</w:t>
      </w:r>
      <w:r>
        <w:rPr>
          <w:rFonts w:ascii="Times New Roman" w:hAnsi="Times New Roman"/>
          <w:sz w:val="28"/>
          <w:szCs w:val="28"/>
        </w:rPr>
        <w:t xml:space="preserve"> (1 полет позволяет обследовать большую территорию, это экономия рабочего времени, трудозатрат и затрат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ГСМ);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озможность обследования </w:t>
      </w:r>
      <w:r>
        <w:rPr>
          <w:rFonts w:ascii="Times New Roman" w:hAnsi="Times New Roman"/>
          <w:b/>
          <w:bCs/>
          <w:sz w:val="28"/>
          <w:szCs w:val="28"/>
        </w:rPr>
        <w:t>труднодоступных мест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ысокая </w:t>
      </w:r>
      <w:r>
        <w:rPr>
          <w:rFonts w:ascii="Times New Roman" w:hAnsi="Times New Roman"/>
          <w:b/>
          <w:bCs/>
          <w:sz w:val="28"/>
          <w:szCs w:val="28"/>
        </w:rPr>
        <w:t>точность</w:t>
      </w:r>
      <w:r>
        <w:rPr>
          <w:rFonts w:ascii="Times New Roman" w:hAnsi="Times New Roman"/>
          <w:sz w:val="28"/>
          <w:szCs w:val="28"/>
        </w:rPr>
        <w:t xml:space="preserve"> данных</w:t>
      </w:r>
    </w:p>
    <w:p>
      <w:pPr>
        <w:pStyle w:val="ListParagraph"/>
        <w:widowControl/>
        <w:numPr>
          <w:ilvl w:val="0"/>
          <w:numId w:val="0"/>
        </w:numPr>
        <w:spacing w:lineRule="auto" w:line="276" w:before="0" w:after="200"/>
        <w:ind w:left="0" w:right="0" w:firstLine="79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результатов надзорной деятельности </w:t>
      </w:r>
      <w:r>
        <w:rPr>
          <w:rFonts w:ascii="Times New Roman" w:hAnsi="Times New Roman"/>
          <w:b/>
          <w:bCs/>
          <w:sz w:val="28"/>
          <w:szCs w:val="28"/>
        </w:rPr>
        <w:t>несколько шире,</w:t>
      </w:r>
      <w:r>
        <w:rPr>
          <w:rFonts w:ascii="Times New Roman" w:hAnsi="Times New Roman"/>
          <w:sz w:val="28"/>
          <w:szCs w:val="28"/>
        </w:rPr>
        <w:t xml:space="preserve"> чем принято считать: </w:t>
      </w:r>
    </w:p>
    <w:p>
      <w:pPr>
        <w:pStyle w:val="ListParagraph"/>
        <w:widowControl/>
        <w:numPr>
          <w:ilvl w:val="0"/>
          <w:numId w:val="0"/>
        </w:numPr>
        <w:spacing w:lineRule="auto" w:line="276" w:before="0" w:after="200"/>
        <w:ind w:left="0" w:right="0" w:firstLine="79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ahoma" w:cs="Tahoma" w:ascii="Tahoma" w:hAnsi="Tahoma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Применение БВС не только повысило результативность надзорной деятельности, но и способствует в дальнейшем созданию и обновлению картографической основы нашего региона. </w:t>
      </w:r>
    </w:p>
    <w:p>
      <w:pPr>
        <w:pStyle w:val="ListParagraph"/>
        <w:widowControl/>
        <w:numPr>
          <w:ilvl w:val="0"/>
          <w:numId w:val="0"/>
        </w:numPr>
        <w:spacing w:lineRule="auto" w:line="276" w:before="0" w:after="200"/>
        <w:ind w:left="0" w:right="0" w:firstLine="794"/>
        <w:contextualSpacing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>В прошлом году мы облетели 35 населенных пунктов на общей площади 880 га. В планах на 2025 год (при наличия соответствующих разрешений) облететь 287 населенных пунктов на площади более 8700 га.</w:t>
      </w:r>
    </w:p>
    <w:p>
      <w:pPr>
        <w:pStyle w:val="ListParagraph"/>
        <w:widowControl/>
        <w:numPr>
          <w:ilvl w:val="0"/>
          <w:numId w:val="0"/>
        </w:numPr>
        <w:spacing w:lineRule="auto" w:line="276" w:before="0" w:after="200"/>
        <w:ind w:left="0" w:right="0" w:firstLine="79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ahoma" w:cs="Tahoma" w:ascii="Tahoma" w:hAnsi="Tahoma"/>
          <w:sz w:val="28"/>
          <w:szCs w:val="28"/>
          <w:shd w:fill="auto" w:val="clear"/>
        </w:rPr>
        <w:t>•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sz w:val="28"/>
          <w:szCs w:val="28"/>
          <w:shd w:fill="auto" w:val="clear"/>
        </w:rPr>
        <w:t>В рамках пилотного проекта в с. Ингарь были проведены мероприятия по сплошному инструментальному обследованию 120 земельных участков.  По информации ОМС в администрацию обратилось более 200 граждан                 по вопросами оформления прав на землю.</w:t>
      </w:r>
    </w:p>
    <w:p>
      <w:pPr>
        <w:pStyle w:val="ListParagraph"/>
        <w:widowControl/>
        <w:numPr>
          <w:ilvl w:val="0"/>
          <w:numId w:val="0"/>
        </w:numPr>
        <w:spacing w:lineRule="auto" w:line="276" w:before="0" w:after="200"/>
        <w:ind w:left="720" w:hanging="0"/>
        <w:contextualSpacing/>
        <w:jc w:val="both"/>
        <w:rPr>
          <w:highlight w:val="none"/>
          <w:shd w:fill="auto" w:val="clear"/>
        </w:rPr>
      </w:pPr>
      <w:r>
        <w:rPr>
          <w:rFonts w:eastAsia="Tahoma" w:cs="Tahoma" w:ascii="Tahoma" w:hAnsi="Tahoma"/>
          <w:sz w:val="28"/>
          <w:szCs w:val="28"/>
          <w:shd w:fill="auto" w:val="clear"/>
        </w:rPr>
        <w:t>•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Также </w:t>
      </w:r>
      <w:r>
        <w:rPr>
          <w:rFonts w:ascii="Times New Roman" w:hAnsi="Times New Roman"/>
          <w:b/>
          <w:bCs/>
          <w:sz w:val="28"/>
          <w:szCs w:val="28"/>
          <w:shd w:fill="auto" w:val="clear"/>
        </w:rPr>
        <w:t xml:space="preserve">устранение </w:t>
      </w:r>
      <w:r>
        <w:rPr>
          <w:rFonts w:ascii="Times New Roman" w:hAnsi="Times New Roman"/>
          <w:sz w:val="28"/>
          <w:szCs w:val="28"/>
          <w:shd w:fill="auto" w:val="clear"/>
        </w:rPr>
        <w:t>нарушений на площади более 540 га</w:t>
      </w:r>
      <w:r>
        <w:rPr>
          <w:rFonts w:cs="Arial" w:ascii="Times New Roman" w:hAnsi="Times New Roman" w:cstheme="minorBidi"/>
          <w:sz w:val="28"/>
          <w:szCs w:val="28"/>
          <w:shd w:fill="auto" w:val="clear"/>
        </w:rPr>
        <w:t xml:space="preserve"> -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увеличивает налогооблагаемую базу на </w:t>
      </w:r>
      <w:r>
        <w:rPr>
          <w:rFonts w:ascii="Times New Roman" w:hAnsi="Times New Roman"/>
          <w:b/>
          <w:bCs/>
          <w:sz w:val="28"/>
          <w:szCs w:val="28"/>
          <w:shd w:fill="auto" w:val="clear"/>
        </w:rPr>
        <w:t>1 124 000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 руб.</w:t>
      </w:r>
    </w:p>
    <w:p>
      <w:pPr>
        <w:pStyle w:val="ListParagraph"/>
        <w:widowControl/>
        <w:numPr>
          <w:ilvl w:val="0"/>
          <w:numId w:val="0"/>
        </w:numPr>
        <w:spacing w:lineRule="auto" w:line="276" w:before="0" w:after="200"/>
        <w:ind w:left="720" w:hanging="0"/>
        <w:contextualSpacing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ListParagraph"/>
        <w:spacing w:before="0" w:after="20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nos" w:hAnsi="Tinos"/>
          <w:b/>
          <w:bCs/>
          <w:sz w:val="28"/>
          <w:szCs w:val="28"/>
        </w:rPr>
        <w:t xml:space="preserve">Слайд № 3. </w:t>
      </w:r>
      <w:r>
        <w:rPr>
          <w:rFonts w:ascii="Times New Roman" w:hAnsi="Times New Roman"/>
          <w:b/>
          <w:bCs/>
          <w:sz w:val="28"/>
          <w:szCs w:val="28"/>
        </w:rPr>
        <w:t xml:space="preserve">В надзорную деятельность активно внедряются цифровые технологии. </w:t>
      </w:r>
    </w:p>
    <w:p>
      <w:pPr>
        <w:pStyle w:val="ListParagraph"/>
        <w:spacing w:before="0" w:after="20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настоящий момент через личный кабинет Госуслуг реализован следующий функционал:</w:t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получение информации </w:t>
      </w:r>
      <w:r>
        <w:rPr>
          <w:rFonts w:ascii="Tinos" w:hAnsi="Tinos"/>
          <w:b/>
          <w:bCs/>
          <w:sz w:val="28"/>
          <w:szCs w:val="28"/>
        </w:rPr>
        <w:t xml:space="preserve">о проверках </w:t>
      </w:r>
      <w:r>
        <w:rPr>
          <w:rFonts w:ascii="Tinos" w:hAnsi="Tinos"/>
          <w:sz w:val="28"/>
          <w:szCs w:val="28"/>
        </w:rPr>
        <w:t xml:space="preserve">и </w:t>
      </w:r>
      <w:r>
        <w:rPr>
          <w:rFonts w:ascii="Tinos" w:hAnsi="Tinos"/>
          <w:b/>
          <w:bCs/>
          <w:sz w:val="28"/>
          <w:szCs w:val="28"/>
        </w:rPr>
        <w:t>объектах контроля</w:t>
      </w:r>
      <w:r>
        <w:rPr>
          <w:rFonts w:ascii="Tinos" w:hAnsi="Tinos"/>
          <w:sz w:val="28"/>
          <w:szCs w:val="28"/>
        </w:rPr>
        <w:t>;</w:t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подач</w:t>
      </w:r>
      <w:r>
        <w:rPr>
          <w:rFonts w:ascii="Tinos" w:hAnsi="Tinos"/>
          <w:sz w:val="28"/>
          <w:szCs w:val="28"/>
        </w:rPr>
        <w:t>а</w:t>
      </w:r>
      <w:r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b/>
          <w:bCs/>
          <w:sz w:val="28"/>
          <w:szCs w:val="28"/>
        </w:rPr>
        <w:t>жалоб на решения</w:t>
      </w:r>
      <w:r>
        <w:rPr>
          <w:rFonts w:ascii="Tinos" w:hAnsi="Tinos"/>
          <w:sz w:val="28"/>
          <w:szCs w:val="28"/>
        </w:rPr>
        <w:t xml:space="preserve"> надзорного органа;</w:t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получение </w:t>
      </w:r>
      <w:r>
        <w:rPr>
          <w:rFonts w:ascii="Tinos" w:hAnsi="Tinos"/>
          <w:b/>
          <w:bCs/>
          <w:sz w:val="28"/>
          <w:szCs w:val="28"/>
        </w:rPr>
        <w:t>предостережения</w:t>
      </w:r>
      <w:r>
        <w:rPr>
          <w:rFonts w:ascii="Tinos" w:hAnsi="Tinos"/>
          <w:sz w:val="28"/>
          <w:szCs w:val="28"/>
        </w:rPr>
        <w:t>;</w:t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направлени</w:t>
      </w:r>
      <w:r>
        <w:rPr>
          <w:rFonts w:ascii="Tinos" w:hAnsi="Tinos"/>
          <w:sz w:val="28"/>
          <w:szCs w:val="28"/>
        </w:rPr>
        <w:t>е</w:t>
      </w:r>
      <w:r>
        <w:rPr>
          <w:rFonts w:ascii="Tinos" w:hAnsi="Tinos"/>
          <w:sz w:val="28"/>
          <w:szCs w:val="28"/>
        </w:rPr>
        <w:t xml:space="preserve"> </w:t>
      </w:r>
      <w:r>
        <w:rPr>
          <w:rFonts w:ascii="Tinos" w:hAnsi="Tinos"/>
          <w:b/>
          <w:bCs/>
          <w:sz w:val="28"/>
          <w:szCs w:val="28"/>
        </w:rPr>
        <w:t xml:space="preserve">возражения </w:t>
      </w:r>
      <w:r>
        <w:rPr>
          <w:rFonts w:ascii="Tinos" w:hAnsi="Tinos"/>
          <w:sz w:val="28"/>
          <w:szCs w:val="28"/>
        </w:rPr>
        <w:t>на предостережение;</w:t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запис</w:t>
      </w:r>
      <w:r>
        <w:rPr>
          <w:rFonts w:ascii="Tinos" w:hAnsi="Tinos"/>
          <w:sz w:val="28"/>
          <w:szCs w:val="28"/>
        </w:rPr>
        <w:t>ь</w:t>
      </w:r>
      <w:r>
        <w:rPr>
          <w:rFonts w:ascii="Tinos" w:hAnsi="Tinos"/>
          <w:sz w:val="28"/>
          <w:szCs w:val="28"/>
        </w:rPr>
        <w:t xml:space="preserve"> на профилактические визиты и консультации,;</w:t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возможность оставлять отзывы и оценивать профилактические              визиты;</w:t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продлени</w:t>
      </w:r>
      <w:r>
        <w:rPr>
          <w:rFonts w:ascii="Tinos" w:hAnsi="Tinos"/>
          <w:sz w:val="28"/>
          <w:szCs w:val="28"/>
        </w:rPr>
        <w:t xml:space="preserve">е </w:t>
      </w:r>
      <w:r>
        <w:rPr>
          <w:rFonts w:ascii="Tinos" w:hAnsi="Tinos"/>
          <w:sz w:val="28"/>
          <w:szCs w:val="28"/>
        </w:rPr>
        <w:t>срока предписания.</w:t>
      </w:r>
    </w:p>
    <w:p>
      <w:pPr>
        <w:pStyle w:val="ListParagraph"/>
        <w:widowControl/>
        <w:numPr>
          <w:ilvl w:val="0"/>
          <w:numId w:val="0"/>
        </w:numPr>
        <w:spacing w:lineRule="auto" w:line="276" w:before="0" w:after="200"/>
        <w:ind w:left="680" w:right="0" w:hanging="0"/>
        <w:contextualSpacing/>
        <w:jc w:val="both"/>
        <w:rPr>
          <w:rFonts w:ascii="Tinos" w:hAnsi="Tinos"/>
          <w:b/>
          <w:bCs/>
          <w:sz w:val="28"/>
          <w:szCs w:val="28"/>
        </w:rPr>
      </w:pPr>
      <w:r>
        <w:rPr>
          <w:rFonts w:ascii="Tinos" w:hAnsi="Tinos"/>
          <w:b/>
          <w:bCs/>
          <w:sz w:val="28"/>
          <w:szCs w:val="28"/>
        </w:rPr>
      </w:r>
    </w:p>
    <w:p>
      <w:pPr>
        <w:pStyle w:val="ListParagraph"/>
        <w:spacing w:before="0" w:after="20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планах Росреестра в 2025 году внедрить мобильное приложение «Инспектор» .</w:t>
      </w:r>
    </w:p>
    <w:p>
      <w:pPr>
        <w:pStyle w:val="ListParagraph"/>
        <w:spacing w:before="0" w:after="20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приложение будет удобным дополнением к уже существующим сервисам:</w:t>
      </w:r>
    </w:p>
    <w:p>
      <w:pPr>
        <w:pStyle w:val="ListParagraph"/>
        <w:numPr>
          <w:ilvl w:val="0"/>
          <w:numId w:val="2"/>
        </w:numPr>
        <w:spacing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граждан - это возможность участия в профилактическом визите                    по средствам ВКС;</w:t>
      </w:r>
    </w:p>
    <w:p>
      <w:pPr>
        <w:pStyle w:val="ListParagraph"/>
        <w:numPr>
          <w:ilvl w:val="0"/>
          <w:numId w:val="2"/>
        </w:numPr>
        <w:spacing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инспектора - это возможность проводить фото и видео фиксацию нарушений и направля</w:t>
      </w:r>
      <w:r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материалы в ТОР КНД онлайн, а также фиксировать результаты опроса в протоколе опроса.                              (</w:t>
      </w:r>
      <w:r>
        <w:rPr>
          <w:rFonts w:ascii="Times New Roman" w:hAnsi="Times New Roman"/>
          <w:sz w:val="24"/>
          <w:szCs w:val="24"/>
        </w:rPr>
        <w:t>типовое облачное решение по автоматизации контрольной надзорной деятельности</w:t>
      </w:r>
      <w:r>
        <w:rPr>
          <w:rFonts w:ascii="Times New Roman" w:hAnsi="Times New Roman"/>
          <w:sz w:val="28"/>
          <w:szCs w:val="28"/>
        </w:rPr>
        <w:t xml:space="preserve"> )</w:t>
      </w:r>
    </w:p>
    <w:p>
      <w:pPr>
        <w:pStyle w:val="ListParagraph"/>
        <w:spacing w:before="0" w:after="20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Что во многом облегчит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коммуникацию </w:t>
      </w:r>
      <w:r>
        <w:rPr>
          <w:rFonts w:ascii="Times New Roman" w:hAnsi="Times New Roman"/>
          <w:i/>
          <w:iCs/>
          <w:sz w:val="28"/>
          <w:szCs w:val="28"/>
        </w:rPr>
        <w:t xml:space="preserve">граждан с ведомством, повысит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прозрачность</w:t>
      </w:r>
      <w:r>
        <w:rPr>
          <w:rFonts w:ascii="Times New Roman" w:hAnsi="Times New Roman"/>
          <w:i/>
          <w:iCs/>
          <w:sz w:val="28"/>
          <w:szCs w:val="28"/>
        </w:rPr>
        <w:t xml:space="preserve"> проводимых мероприятий и позволит уменьшить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затраты на бумажный документооборот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>
      <w:pPr>
        <w:pStyle w:val="ListParagraph"/>
        <w:spacing w:before="0" w:after="20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before="0" w:after="20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СПАСИБО ЗА ВНИМАНИЕ.</w:t>
      </w:r>
    </w:p>
    <w:sectPr>
      <w:type w:val="nextPage"/>
      <w:pgSz w:w="11906" w:h="16838"/>
      <w:pgMar w:left="1560" w:right="850" w:gutter="0" w:header="0" w:top="709" w:footer="0" w:bottom="5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inos">
    <w:charset w:val="01"/>
    <w:family w:val="roman"/>
    <w:pitch w:val="default"/>
  </w:font>
  <w:font w:name="PT Astra Serif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8"/>
        <w:szCs w:val="28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8"/>
        <w:szCs w:val="28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link w:val="Quote"/>
    <w:uiPriority w:val="29"/>
    <w:qFormat/>
    <w:rPr>
      <w:i/>
    </w:rPr>
  </w:style>
  <w:style w:type="character" w:styleId="IntenseQuoteChar">
    <w:name w:val="Intense Quote Char"/>
    <w:link w:val="IntenseQuote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basedOn w:val="DefaultParagraphFont"/>
    <w:uiPriority w:val="35"/>
    <w:qFormat/>
    <w:rPr>
      <w:b/>
      <w:bCs/>
      <w:color w:val="4F81BD" w:themeColor="accent1"/>
      <w:sz w:val="18"/>
      <w:szCs w:val="18"/>
    </w:rPr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>
    <w:name w:val="Символ нумерации"/>
    <w:qFormat/>
    <w:rPr/>
  </w:style>
  <w:style w:type="character" w:styleId="Style10">
    <w:name w:val="Маркеры"/>
    <w:qFormat/>
    <w:rPr>
      <w:rFonts w:ascii="Tinos" w:hAnsi="Tinos" w:eastAsia="OpenSymbol" w:cs="OpenSymbol"/>
      <w:sz w:val="28"/>
      <w:szCs w:val="28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PT Astra Serif" w:hAnsi="PT Astra Serif" w:cs="Noto Sans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6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7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link w:val="HeaderChar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er"/>
    <w:basedOn w:val="Normal"/>
    <w:link w:val="FooterChar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1">
    <w:name w:val="Footnote Text"/>
    <w:basedOn w:val="Normal"/>
    <w:link w:val="FootnoteTextChar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2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next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next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next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next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Style23">
    <w:name w:val="Index Heading"/>
    <w:basedOn w:val="Style11"/>
    <w:pPr/>
    <w:rPr/>
  </w:style>
  <w:style w:type="paragraph" w:styleId="Style24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Autospacing="0" w:after="0"/>
    </w:pPr>
    <w:rPr/>
  </w:style>
  <w:style w:type="paragraph" w:styleId="Style25" w:customStyle="1">
    <w:name w:val="Знак"/>
    <w:basedOn w:val="Normal"/>
    <w:qFormat/>
    <w:pPr>
      <w:spacing w:lineRule="auto" w:line="240" w:beforeAutospacing="1" w:afterAutospacing="1"/>
    </w:pPr>
    <w:rPr>
      <w:rFonts w:ascii="Tahoma" w:hAnsi="Tahoma" w:eastAsia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styleId="48">
    <w:name w:val="Table Grid"/>
    <w:basedOn w:val="63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7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7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1">
    <w:name w:val="Plain Table 2"/>
    <w:basedOn w:val="63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2">
    <w:name w:val="Plain Table 3"/>
    <w:basedOn w:val="6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53">
    <w:name w:val="Plain Table 4"/>
    <w:basedOn w:val="6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4">
    <w:name w:val="Plain Table 5"/>
    <w:basedOn w:val="6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6">
    <w:name w:val="Grid Table 1 Light - Accent 1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">
    <w:name w:val="Grid Table 1 Light - Accent 2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8">
    <w:name w:val="Grid Table 1 Light - Accent 3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9">
    <w:name w:val="Grid Table 1 Light - Accent 4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0">
    <w:name w:val="Grid Table 1 Light - Accent 5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1">
    <w:name w:val="Grid Table 1 Light - Accent 6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2">
    <w:name w:val="Grid Table 2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6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6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6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6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7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85">
    <w:name w:val="Grid Table 5 Dark - Accent 2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86">
    <w:name w:val="Grid Table 5 Dark - Accent 3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87">
    <w:name w:val="Grid Table 5 Dark- Accent 4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88">
    <w:name w:val="Grid Table 5 Dark - Accent 5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89">
    <w:name w:val="Grid Table 5 Dark - Accent 6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90">
    <w:name w:val="Grid Table 6 Colorful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91">
    <w:name w:val="Grid Table 6 Colorful - Accent 1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17BBA" w:themeColor="accent1" w:themeTint="80" w:themeShade="95"/>
      </w:rPr>
      <w:tblPr/>
    </w:tblStylePr>
    <w:tblStylePr w:type="firstRow">
      <w:rPr>
        <w:b/>
        <w:color w:val="317BBA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  <w:tblPr/>
    </w:tblStylePr>
    <w:tblStylePr w:type="lastRow">
      <w:rPr>
        <w:b/>
        <w:color w:val="317BBA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92">
    <w:name w:val="Grid Table 6 Colorful - Accent 2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93">
    <w:name w:val="Grid Table 6 Colorful - Accent 3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606060" w:themeColor="accent3" w:themeTint="fe" w:themeShade="95"/>
      </w:rPr>
      <w:tblPr/>
    </w:tblStylePr>
    <w:tblStylePr w:type="firstRow">
      <w:rPr>
        <w:b/>
        <w:color w:val="606060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  <w:tblPr/>
    </w:tblStylePr>
    <w:tblStylePr w:type="lastRow">
      <w:rPr>
        <w:b/>
        <w:color w:val="606060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94">
    <w:name w:val="Grid Table 6 Colorful - Accent 4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95">
    <w:name w:val="Grid Table 6 Colorful - Accent 5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6">
    <w:name w:val="Grid Table 6 Colorful - Accent 6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7">
    <w:name w:val="Grid Table 7 Colorful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17BBA"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val="317BBA"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317BBA"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val="317BBA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606060"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val="606060"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606060"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val="606060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  <w:tblPr/>
    </w:tblStylePr>
    <w:tblStylePr w:type="firstCol">
      <w:pPr>
        <w:jc w:val="right"/>
      </w:pPr>
      <w:rPr>
        <w:i/>
        <w:color w:val="254374"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val="254374"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54374"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val="254374"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63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  <w:tblPr/>
    </w:tblStylePr>
    <w:tblStylePr w:type="firstCol">
      <w:pPr>
        <w:jc w:val="right"/>
      </w:pPr>
      <w:rPr>
        <w:i/>
        <w:color w:val="426429"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val="426429"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26429"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val="426429"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6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19">
    <w:name w:val="List Table 3 - Accent 1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0">
    <w:name w:val="List Table 3 - Accent 2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1">
    <w:name w:val="List Table 3 - Accent 3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2">
    <w:name w:val="List Table 3 - Accent 4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3">
    <w:name w:val="List Table 3 - Accent 5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4">
    <w:name w:val="List Table 3 - Accent 6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5">
    <w:name w:val="List Table 4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6">
    <w:name w:val="List Table 4 - Accent 1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7">
    <w:name w:val="List Table 4 - Accent 2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8">
    <w:name w:val="List Table 4 - Accent 3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9">
    <w:name w:val="List Table 4 - Accent 4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0">
    <w:name w:val="List Table 4 - Accent 5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1">
    <w:name w:val="List Table 4 - Accent 6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2">
    <w:name w:val="List Table 5 Dark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3">
    <w:name w:val="List Table 5 Dark - Accent 1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4">
    <w:name w:val="List Table 5 Dark - Accent 2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5">
    <w:name w:val="List Table 5 Dark - Accent 3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6">
    <w:name w:val="List Table 5 Dark - Accent 4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7">
    <w:name w:val="List Table 5 Dark - Accent 5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8">
    <w:name w:val="List Table 5 Dark - Accent 6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9">
    <w:name w:val="List Table 6 Colorful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45D8D" w:themeColor="accent1" w:themeShade="95"/>
      </w:rPr>
      <w:tblPr/>
    </w:tblStylePr>
    <w:tblStylePr w:type="firstRow">
      <w:rPr>
        <w:b/>
        <w:color w:val="245D8D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tblPr/>
    </w:tblStylePr>
    <w:tblStylePr w:type="lastRow">
      <w:rPr>
        <w:b/>
        <w:color w:val="245D8D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57575" w:themeColor="accent3" w:themeTint="98" w:themeShade="95"/>
      </w:rPr>
      <w:tblPr/>
    </w:tblStylePr>
    <w:tblStylePr w:type="firstRow">
      <w:rPr>
        <w:b/>
        <w:color w:val="757575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  <w:tblPr/>
    </w:tblStylePr>
    <w:tblStylePr w:type="lastRow">
      <w:rPr>
        <w:b/>
        <w:color w:val="757575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5E9E" w:themeColor="accent5" w:themeTint="9a" w:themeShade="95"/>
      </w:rPr>
      <w:tblPr/>
    </w:tblStylePr>
    <w:tblStylePr w:type="firstRow">
      <w:rPr>
        <w:b/>
        <w:color w:val="335E9E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  <w:tblPr/>
    </w:tblStylePr>
    <w:tblStylePr w:type="lastRow">
      <w:rPr>
        <w:b/>
        <w:color w:val="335E9E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5F8F3C" w:themeColor="accent6" w:themeTint="98" w:themeShade="95"/>
      </w:rPr>
      <w:tblPr/>
    </w:tblStylePr>
    <w:tblStylePr w:type="firstRow">
      <w:rPr>
        <w:b/>
        <w:color w:val="5F8F3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  <w:tblPr/>
    </w:tblStylePr>
    <w:tblStylePr w:type="lastRow">
      <w:rPr>
        <w:b/>
        <w:color w:val="5F8F3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6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147">
    <w:name w:val="List Table 7 Colorful - Accent 1"/>
    <w:basedOn w:val="6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  <w:tblPr/>
    </w:tblStylePr>
    <w:tblStylePr w:type="firstCol">
      <w:pPr>
        <w:jc w:val="right"/>
      </w:pPr>
      <w:rPr>
        <w:i/>
        <w:color w:val="245D8D"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val="245D8D"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45D8D"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val="245D8D"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245D8D" w:themeColor="accent1" w:themeShade="95"/>
        <w:sz w:val="22"/>
      </w:rPr>
      <w:tblPr/>
    </w:tblStylePr>
  </w:style>
  <w:style w:type="table" w:styleId="148">
    <w:name w:val="List Table 7 Colorful - Accent 2"/>
    <w:basedOn w:val="6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C95712" w:themeColor="accent2" w:themeTint="97" w:themeShade="95"/>
        <w:sz w:val="22"/>
      </w:rPr>
      <w:tblPr/>
    </w:tblStylePr>
  </w:style>
  <w:style w:type="table" w:styleId="149">
    <w:name w:val="List Table 7 Colorful - Accent 3"/>
    <w:basedOn w:val="6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57575"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val="757575"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757575"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val="757575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757575" w:themeColor="accent3" w:themeTint="98" w:themeShade="95"/>
        <w:sz w:val="22"/>
      </w:rPr>
      <w:tblPr/>
    </w:tblStylePr>
  </w:style>
  <w:style w:type="table" w:styleId="150">
    <w:name w:val="List Table 7 Colorful - Accent 4"/>
    <w:basedOn w:val="6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CD9600" w:themeColor="accent4" w:themeTint="9a" w:themeShade="95"/>
        <w:sz w:val="22"/>
      </w:rPr>
      <w:tblPr/>
    </w:tblStylePr>
  </w:style>
  <w:style w:type="table" w:styleId="151">
    <w:name w:val="List Table 7 Colorful - Accent 5"/>
    <w:basedOn w:val="6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5E9E"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val="335E9E"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335E9E"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val="335E9E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335E9E" w:themeColor="accent5" w:themeTint="9a" w:themeShade="95"/>
        <w:sz w:val="22"/>
      </w:rPr>
      <w:tblPr/>
    </w:tblStylePr>
  </w:style>
  <w:style w:type="table" w:styleId="152">
    <w:name w:val="List Table 7 Colorful - Accent 6"/>
    <w:basedOn w:val="63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5F8F3C"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val="5F8F3C"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5F8F3C"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val="5F8F3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5F8F3C" w:themeColor="accent6" w:themeTint="98" w:themeShade="95"/>
        <w:sz w:val="22"/>
      </w:rPr>
      <w:tblPr/>
    </w:tblStylePr>
  </w:style>
  <w:style w:type="table" w:styleId="153">
    <w:name w:val="Lined - Accent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155">
    <w:name w:val="Lined - Accent 2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156">
    <w:name w:val="Lined - Accent 3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157">
    <w:name w:val="Lined - Accent 4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158">
    <w:name w:val="Lined - Accent 5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159">
    <w:name w:val="Lined - Accent 6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160">
    <w:name w:val="Bordered &amp; Lined - Accent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162">
    <w:name w:val="Bordered &amp; Lined - Accent 2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163">
    <w:name w:val="Bordered &amp; Lined - Accent 3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164">
    <w:name w:val="Bordered &amp; Lined - Accent 4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165">
    <w:name w:val="Bordered &amp; Lined - Accent 5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166">
    <w:name w:val="Bordered &amp; Lined - Accent 6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167">
    <w:name w:val="Bordered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63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637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CB4B9-1424-4840-98C5-2DF355ED9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Application>LibreOffice/7.5.6.2$Linux_X86_64 LibreOffice_project/50$Build-2</Application>
  <AppVersion>15.0000</AppVersion>
  <Pages>2</Pages>
  <Words>447</Words>
  <Characters>2837</Characters>
  <CharactersWithSpaces>3384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2024-02-29T12:02:00Z</dcterms:created>
  <dc:creator>Шеберстова Анна Владимировна</dc:creator>
  <dc:description/>
  <dc:language>ru-RU</dc:language>
  <cp:lastModifiedBy/>
  <cp:lastPrinted>2025-03-04T12:35:14Z</cp:lastPrinted>
  <dcterms:modified xsi:type="dcterms:W3CDTF">2025-03-21T14:34:32Z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